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>
      <w:pPr>
        <w:spacing w:before="188" w:line="235" w:lineRule="auto"/>
        <w:ind w:left="3135" w:right="86" w:hanging="295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1"/>
          <w:sz w:val="43"/>
          <w:szCs w:val="43"/>
        </w:rPr>
        <w:t>高等学校2022—2023学年本科教学质量报告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支撑数据目录</w:t>
      </w:r>
    </w:p>
    <w:p>
      <w:pPr>
        <w:pStyle w:val="2"/>
        <w:spacing w:before="174" w:line="219" w:lineRule="auto"/>
        <w:ind w:firstLine="640" w:firstLineChars="200"/>
        <w:rPr>
          <w:sz w:val="31"/>
          <w:szCs w:val="31"/>
        </w:rPr>
      </w:pPr>
      <w:r>
        <w:rPr>
          <w:spacing w:val="5"/>
          <w:sz w:val="31"/>
          <w:szCs w:val="31"/>
        </w:rPr>
        <w:t>1.</w:t>
      </w:r>
      <w:r>
        <w:rPr>
          <w:spacing w:val="-7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本科生占全日制在校生总数的比例</w:t>
      </w:r>
    </w:p>
    <w:p>
      <w:pPr>
        <w:pStyle w:val="2"/>
        <w:spacing w:before="214" w:line="222" w:lineRule="auto"/>
        <w:ind w:left="619"/>
        <w:rPr>
          <w:sz w:val="31"/>
          <w:szCs w:val="31"/>
        </w:rPr>
      </w:pPr>
      <w:r>
        <w:rPr>
          <w:spacing w:val="22"/>
          <w:sz w:val="31"/>
          <w:szCs w:val="31"/>
        </w:rPr>
        <w:t>2.</w:t>
      </w:r>
      <w:r>
        <w:rPr>
          <w:spacing w:val="-71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教师数量及结构(全校及分专业)</w:t>
      </w:r>
    </w:p>
    <w:p>
      <w:pPr>
        <w:pStyle w:val="2"/>
        <w:spacing w:before="217" w:line="579" w:lineRule="exact"/>
        <w:ind w:right="9"/>
        <w:jc w:val="right"/>
        <w:rPr>
          <w:sz w:val="31"/>
          <w:szCs w:val="31"/>
        </w:rPr>
      </w:pPr>
      <w:r>
        <w:rPr>
          <w:spacing w:val="18"/>
          <w:position w:val="19"/>
          <w:sz w:val="31"/>
          <w:szCs w:val="31"/>
        </w:rPr>
        <w:t>3.</w:t>
      </w:r>
      <w:r>
        <w:rPr>
          <w:spacing w:val="-49"/>
          <w:position w:val="19"/>
          <w:sz w:val="31"/>
          <w:szCs w:val="31"/>
        </w:rPr>
        <w:t xml:space="preserve"> </w:t>
      </w:r>
      <w:r>
        <w:rPr>
          <w:spacing w:val="18"/>
          <w:position w:val="19"/>
          <w:sz w:val="31"/>
          <w:szCs w:val="31"/>
        </w:rPr>
        <w:t>专业设置情况(全校本科专业总数、当年本科招生专业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总数以及当年新增专业、停招专业名单)</w:t>
      </w:r>
    </w:p>
    <w:p>
      <w:pPr>
        <w:pStyle w:val="2"/>
        <w:spacing w:before="200" w:line="222" w:lineRule="auto"/>
        <w:ind w:left="619"/>
        <w:rPr>
          <w:sz w:val="31"/>
          <w:szCs w:val="31"/>
        </w:rPr>
      </w:pPr>
      <w:r>
        <w:rPr>
          <w:spacing w:val="23"/>
          <w:sz w:val="31"/>
          <w:szCs w:val="31"/>
        </w:rPr>
        <w:t>4.</w:t>
      </w:r>
      <w:r>
        <w:rPr>
          <w:spacing w:val="-26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生师比(全校及分专业)</w:t>
      </w:r>
    </w:p>
    <w:p>
      <w:pPr>
        <w:pStyle w:val="2"/>
        <w:spacing w:before="229" w:line="222" w:lineRule="auto"/>
        <w:ind w:left="619"/>
        <w:rPr>
          <w:sz w:val="31"/>
          <w:szCs w:val="31"/>
        </w:rPr>
      </w:pPr>
      <w:r>
        <w:rPr>
          <w:spacing w:val="4"/>
          <w:sz w:val="31"/>
          <w:szCs w:val="31"/>
        </w:rPr>
        <w:t>5.</w:t>
      </w:r>
      <w:r>
        <w:rPr>
          <w:spacing w:val="-5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生均教学科研仪器设备值</w:t>
      </w:r>
    </w:p>
    <w:p>
      <w:pPr>
        <w:pStyle w:val="2"/>
        <w:spacing w:before="188" w:line="222" w:lineRule="auto"/>
        <w:ind w:left="619"/>
        <w:rPr>
          <w:sz w:val="31"/>
          <w:szCs w:val="31"/>
        </w:rPr>
      </w:pPr>
      <w:r>
        <w:rPr>
          <w:spacing w:val="5"/>
          <w:sz w:val="31"/>
          <w:szCs w:val="31"/>
        </w:rPr>
        <w:t>6.</w:t>
      </w:r>
      <w:r>
        <w:rPr>
          <w:spacing w:val="-3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当年新增教学科研仪器设备值</w:t>
      </w:r>
    </w:p>
    <w:p>
      <w:pPr>
        <w:pStyle w:val="2"/>
        <w:spacing w:before="218" w:line="223" w:lineRule="auto"/>
        <w:ind w:left="619"/>
        <w:rPr>
          <w:sz w:val="31"/>
          <w:szCs w:val="31"/>
        </w:rPr>
      </w:pPr>
      <w:r>
        <w:rPr>
          <w:spacing w:val="-2"/>
          <w:sz w:val="31"/>
          <w:szCs w:val="31"/>
        </w:rPr>
        <w:t>7.</w:t>
      </w:r>
      <w:r>
        <w:rPr>
          <w:spacing w:val="-2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生均图书</w:t>
      </w:r>
    </w:p>
    <w:p>
      <w:pPr>
        <w:pStyle w:val="2"/>
        <w:spacing w:before="211" w:line="221" w:lineRule="auto"/>
        <w:ind w:left="619"/>
        <w:rPr>
          <w:sz w:val="31"/>
          <w:szCs w:val="31"/>
        </w:rPr>
      </w:pPr>
      <w:r>
        <w:rPr>
          <w:spacing w:val="1"/>
          <w:sz w:val="31"/>
          <w:szCs w:val="31"/>
        </w:rPr>
        <w:t>8. 电子图书、电子期刊种数</w:t>
      </w:r>
    </w:p>
    <w:p>
      <w:pPr>
        <w:pStyle w:val="2"/>
        <w:spacing w:before="209" w:line="221" w:lineRule="auto"/>
        <w:ind w:left="619"/>
        <w:rPr>
          <w:sz w:val="31"/>
          <w:szCs w:val="31"/>
        </w:rPr>
      </w:pPr>
      <w:r>
        <w:rPr>
          <w:spacing w:val="18"/>
          <w:sz w:val="31"/>
          <w:szCs w:val="31"/>
        </w:rPr>
        <w:t>9.</w:t>
      </w:r>
      <w:r>
        <w:rPr>
          <w:spacing w:val="-36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生均教学行政用房(其中生均实验室面积)</w:t>
      </w:r>
    </w:p>
    <w:p>
      <w:pPr>
        <w:pStyle w:val="2"/>
        <w:spacing w:before="209" w:line="221" w:lineRule="auto"/>
        <w:ind w:left="619"/>
        <w:rPr>
          <w:sz w:val="31"/>
          <w:szCs w:val="31"/>
        </w:rPr>
      </w:pPr>
      <w:r>
        <w:rPr>
          <w:spacing w:val="3"/>
          <w:sz w:val="31"/>
          <w:szCs w:val="31"/>
        </w:rPr>
        <w:t>10.</w:t>
      </w:r>
      <w:r>
        <w:rPr>
          <w:spacing w:val="-5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生均本科教学日常运行支出</w:t>
      </w:r>
    </w:p>
    <w:p>
      <w:pPr>
        <w:pStyle w:val="2"/>
        <w:spacing w:before="220" w:line="551" w:lineRule="exact"/>
        <w:ind w:right="50"/>
        <w:jc w:val="right"/>
        <w:rPr>
          <w:sz w:val="31"/>
          <w:szCs w:val="31"/>
        </w:rPr>
      </w:pPr>
      <w:r>
        <w:rPr>
          <w:spacing w:val="14"/>
          <w:position w:val="17"/>
          <w:sz w:val="31"/>
          <w:szCs w:val="31"/>
        </w:rPr>
        <w:t>11.本科专项教学经费(自然年内学校立项用于本科教学改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革和建设的专项经费总额)</w:t>
      </w:r>
    </w:p>
    <w:p>
      <w:pPr>
        <w:pStyle w:val="2"/>
        <w:spacing w:before="194" w:line="581" w:lineRule="exact"/>
        <w:ind w:right="64"/>
        <w:jc w:val="right"/>
        <w:rPr>
          <w:sz w:val="31"/>
          <w:szCs w:val="31"/>
        </w:rPr>
      </w:pPr>
      <w:r>
        <w:rPr>
          <w:spacing w:val="10"/>
          <w:position w:val="20"/>
          <w:sz w:val="31"/>
          <w:szCs w:val="31"/>
        </w:rPr>
        <w:t>12.</w:t>
      </w:r>
      <w:r>
        <w:rPr>
          <w:spacing w:val="-62"/>
          <w:position w:val="20"/>
          <w:sz w:val="31"/>
          <w:szCs w:val="31"/>
        </w:rPr>
        <w:t xml:space="preserve"> </w:t>
      </w:r>
      <w:r>
        <w:rPr>
          <w:spacing w:val="10"/>
          <w:position w:val="20"/>
          <w:sz w:val="31"/>
          <w:szCs w:val="31"/>
        </w:rPr>
        <w:t>生均本科实验经费(自然年内学校用于实验教学运行、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维护经费生均值)</w:t>
      </w:r>
    </w:p>
    <w:p>
      <w:pPr>
        <w:pStyle w:val="2"/>
        <w:spacing w:before="197" w:line="591" w:lineRule="exact"/>
        <w:jc w:val="right"/>
        <w:rPr>
          <w:sz w:val="31"/>
          <w:szCs w:val="31"/>
        </w:rPr>
      </w:pPr>
      <w:r>
        <w:rPr>
          <w:spacing w:val="11"/>
          <w:position w:val="20"/>
          <w:sz w:val="31"/>
          <w:szCs w:val="31"/>
        </w:rPr>
        <w:t>13.</w:t>
      </w:r>
      <w:r>
        <w:rPr>
          <w:spacing w:val="-24"/>
          <w:position w:val="20"/>
          <w:sz w:val="31"/>
          <w:szCs w:val="31"/>
        </w:rPr>
        <w:t xml:space="preserve"> </w:t>
      </w:r>
      <w:r>
        <w:rPr>
          <w:spacing w:val="11"/>
          <w:position w:val="20"/>
          <w:sz w:val="31"/>
          <w:szCs w:val="31"/>
        </w:rPr>
        <w:t>生均本科实习经费(自然年内学校用于本科培养方案内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的实习环节支出经费生均值)</w:t>
      </w:r>
    </w:p>
    <w:p>
      <w:pPr>
        <w:pStyle w:val="2"/>
        <w:spacing w:before="187" w:line="581" w:lineRule="exact"/>
        <w:ind w:right="31"/>
        <w:jc w:val="right"/>
        <w:rPr>
          <w:sz w:val="31"/>
          <w:szCs w:val="31"/>
        </w:rPr>
      </w:pPr>
      <w:r>
        <w:rPr>
          <w:rFonts w:hint="eastAsia" w:ascii="仿宋" w:hAnsi="仿宋" w:eastAsia="仿宋" w:cs="仿宋"/>
          <w:spacing w:val="11"/>
          <w:position w:val="20"/>
          <w:sz w:val="31"/>
          <w:szCs w:val="31"/>
        </w:rPr>
        <w:t>14.</w:t>
      </w:r>
      <w:r>
        <w:rPr>
          <w:rFonts w:ascii="Times New Roman" w:hAnsi="Times New Roman" w:eastAsia="Times New Roman" w:cs="Times New Roman"/>
          <w:spacing w:val="11"/>
          <w:position w:val="20"/>
          <w:sz w:val="31"/>
          <w:szCs w:val="31"/>
        </w:rPr>
        <w:t xml:space="preserve">  </w:t>
      </w:r>
      <w:r>
        <w:rPr>
          <w:spacing w:val="11"/>
          <w:position w:val="20"/>
          <w:sz w:val="31"/>
          <w:szCs w:val="31"/>
        </w:rPr>
        <w:t>全校开设课程总门数(学年内实际开设的本科培养计划</w:t>
      </w:r>
    </w:p>
    <w:p>
      <w:pPr>
        <w:pStyle w:val="2"/>
        <w:spacing w:before="1" w:line="221" w:lineRule="auto"/>
        <w:rPr>
          <w:sz w:val="31"/>
          <w:szCs w:val="31"/>
        </w:rPr>
        <w:sectPr>
          <w:footerReference r:id="rId5" w:type="default"/>
          <w:pgSz w:w="12180" w:h="17010"/>
          <w:pgMar w:top="1445" w:right="1660" w:bottom="1055" w:left="1720" w:header="0" w:footer="749" w:gutter="0"/>
          <w:cols w:space="720" w:num="1"/>
        </w:sectPr>
      </w:pPr>
      <w:r>
        <w:rPr>
          <w:spacing w:val="18"/>
          <w:sz w:val="31"/>
          <w:szCs w:val="31"/>
        </w:rPr>
        <w:t>内课程总数，跨学期讲授的同一门课程计1门)</w:t>
      </w: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04" w:line="570" w:lineRule="exact"/>
        <w:ind w:left="629"/>
        <w:rPr>
          <w:sz w:val="32"/>
          <w:szCs w:val="32"/>
        </w:rPr>
      </w:pPr>
      <w:r>
        <w:rPr>
          <w:spacing w:val="9"/>
          <w:position w:val="18"/>
          <w:sz w:val="32"/>
          <w:szCs w:val="32"/>
        </w:rPr>
        <w:t>15.</w:t>
      </w:r>
      <w:r>
        <w:rPr>
          <w:spacing w:val="-55"/>
          <w:position w:val="18"/>
          <w:sz w:val="32"/>
          <w:szCs w:val="32"/>
        </w:rPr>
        <w:t xml:space="preserve"> </w:t>
      </w:r>
      <w:r>
        <w:rPr>
          <w:spacing w:val="9"/>
          <w:position w:val="18"/>
          <w:sz w:val="32"/>
          <w:szCs w:val="32"/>
        </w:rPr>
        <w:t>实践教学学分占总学分比例(按学科门类、专业)</w:t>
      </w:r>
    </w:p>
    <w:p>
      <w:pPr>
        <w:pStyle w:val="2"/>
        <w:spacing w:before="1" w:line="221" w:lineRule="auto"/>
        <w:ind w:left="629"/>
        <w:rPr>
          <w:sz w:val="32"/>
          <w:szCs w:val="32"/>
        </w:rPr>
      </w:pPr>
      <w:r>
        <w:rPr>
          <w:spacing w:val="8"/>
          <w:sz w:val="32"/>
          <w:szCs w:val="32"/>
        </w:rPr>
        <w:t>16.</w:t>
      </w:r>
      <w:r>
        <w:rPr>
          <w:spacing w:val="-8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选修课学分占总学分比例(按学科门类、专业)</w:t>
      </w:r>
    </w:p>
    <w:p>
      <w:pPr>
        <w:pStyle w:val="2"/>
        <w:spacing w:before="195" w:line="590" w:lineRule="exact"/>
        <w:ind w:right="62"/>
        <w:jc w:val="right"/>
        <w:rPr>
          <w:sz w:val="32"/>
          <w:szCs w:val="32"/>
        </w:rPr>
      </w:pPr>
      <w:r>
        <w:rPr>
          <w:spacing w:val="5"/>
          <w:position w:val="19"/>
          <w:sz w:val="32"/>
          <w:szCs w:val="32"/>
        </w:rPr>
        <w:t>17.</w:t>
      </w:r>
      <w:r>
        <w:rPr>
          <w:spacing w:val="-45"/>
          <w:position w:val="19"/>
          <w:sz w:val="32"/>
          <w:szCs w:val="32"/>
        </w:rPr>
        <w:t xml:space="preserve"> </w:t>
      </w:r>
      <w:r>
        <w:rPr>
          <w:spacing w:val="5"/>
          <w:position w:val="19"/>
          <w:sz w:val="32"/>
          <w:szCs w:val="32"/>
        </w:rPr>
        <w:t>主讲本科课程的教授占教授总数的比例(不含讲座</w:t>
      </w:r>
      <w:r>
        <w:rPr>
          <w:spacing w:val="4"/>
          <w:position w:val="19"/>
          <w:sz w:val="32"/>
          <w:szCs w:val="32"/>
        </w:rPr>
        <w:t>，全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16"/>
          <w:sz w:val="32"/>
          <w:szCs w:val="32"/>
        </w:rPr>
        <w:t>校及分专业)</w:t>
      </w:r>
    </w:p>
    <w:p>
      <w:pPr>
        <w:pStyle w:val="2"/>
        <w:spacing w:before="187" w:line="340" w:lineRule="auto"/>
        <w:ind w:right="60" w:firstLine="629"/>
        <w:rPr>
          <w:sz w:val="32"/>
          <w:szCs w:val="32"/>
        </w:rPr>
      </w:pPr>
      <w:r>
        <w:rPr>
          <w:spacing w:val="2"/>
          <w:sz w:val="32"/>
          <w:szCs w:val="32"/>
        </w:rPr>
        <w:t>18.</w:t>
      </w:r>
      <w:r>
        <w:rPr>
          <w:spacing w:val="-7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教授讲授本科课程占课程总门次数的比例(一门课程的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全部课时均由教授授课，计为1;由多名教师共同承担的，按教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5"/>
          <w:sz w:val="32"/>
          <w:szCs w:val="32"/>
        </w:rPr>
        <w:t>授实际承担学时比例计算，全校及分专业)</w:t>
      </w:r>
    </w:p>
    <w:p>
      <w:pPr>
        <w:pStyle w:val="2"/>
        <w:spacing w:before="207" w:line="222" w:lineRule="auto"/>
        <w:ind w:left="629"/>
        <w:rPr>
          <w:sz w:val="32"/>
          <w:szCs w:val="32"/>
        </w:rPr>
      </w:pPr>
      <w:r>
        <w:rPr>
          <w:spacing w:val="10"/>
          <w:sz w:val="32"/>
          <w:szCs w:val="32"/>
        </w:rPr>
        <w:t>19.</w:t>
      </w:r>
      <w:r>
        <w:rPr>
          <w:spacing w:val="-4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实践教学及实习实训基地(分专业)</w:t>
      </w:r>
    </w:p>
    <w:p>
      <w:pPr>
        <w:pStyle w:val="2"/>
        <w:spacing w:before="192" w:line="221" w:lineRule="auto"/>
        <w:ind w:left="629"/>
        <w:rPr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20</w:t>
      </w:r>
      <w:r>
        <w:rPr>
          <w:spacing w:val="13"/>
          <w:sz w:val="32"/>
          <w:szCs w:val="32"/>
        </w:rPr>
        <w:t>.</w:t>
      </w:r>
      <w:r>
        <w:rPr>
          <w:spacing w:val="-67"/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应届本科生毕业率(全校及分专业)</w:t>
      </w:r>
    </w:p>
    <w:p>
      <w:pPr>
        <w:pStyle w:val="2"/>
        <w:spacing w:before="199" w:line="580" w:lineRule="exact"/>
        <w:ind w:left="629"/>
        <w:rPr>
          <w:sz w:val="32"/>
          <w:szCs w:val="32"/>
        </w:rPr>
      </w:pPr>
      <w:r>
        <w:rPr>
          <w:spacing w:val="11"/>
          <w:position w:val="19"/>
          <w:sz w:val="32"/>
          <w:szCs w:val="32"/>
        </w:rPr>
        <w:t>21.</w:t>
      </w:r>
      <w:r>
        <w:rPr>
          <w:spacing w:val="-31"/>
          <w:position w:val="19"/>
          <w:sz w:val="32"/>
          <w:szCs w:val="32"/>
        </w:rPr>
        <w:t xml:space="preserve"> </w:t>
      </w:r>
      <w:r>
        <w:rPr>
          <w:spacing w:val="11"/>
          <w:position w:val="19"/>
          <w:sz w:val="32"/>
          <w:szCs w:val="32"/>
        </w:rPr>
        <w:t>应届本科生学位授予率(全校及分专业)</w:t>
      </w:r>
    </w:p>
    <w:p>
      <w:pPr>
        <w:pStyle w:val="2"/>
        <w:spacing w:before="1" w:line="221" w:lineRule="auto"/>
        <w:ind w:left="629"/>
        <w:rPr>
          <w:sz w:val="32"/>
          <w:szCs w:val="32"/>
        </w:rPr>
      </w:pPr>
      <w:r>
        <w:rPr>
          <w:spacing w:val="11"/>
          <w:sz w:val="32"/>
          <w:szCs w:val="32"/>
        </w:rPr>
        <w:t>22.</w:t>
      </w:r>
      <w:r>
        <w:rPr>
          <w:spacing w:val="-31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应届本科生初次就业率(全校及分专业)</w:t>
      </w:r>
    </w:p>
    <w:p>
      <w:pPr>
        <w:pStyle w:val="2"/>
        <w:spacing w:before="196" w:line="591" w:lineRule="exact"/>
        <w:ind w:left="629"/>
        <w:rPr>
          <w:sz w:val="32"/>
          <w:szCs w:val="32"/>
        </w:rPr>
      </w:pPr>
      <w:r>
        <w:rPr>
          <w:spacing w:val="14"/>
          <w:position w:val="20"/>
          <w:sz w:val="32"/>
          <w:szCs w:val="32"/>
        </w:rPr>
        <w:t>23.</w:t>
      </w:r>
      <w:r>
        <w:rPr>
          <w:spacing w:val="-62"/>
          <w:position w:val="20"/>
          <w:sz w:val="32"/>
          <w:szCs w:val="32"/>
        </w:rPr>
        <w:t xml:space="preserve"> </w:t>
      </w:r>
      <w:r>
        <w:rPr>
          <w:spacing w:val="14"/>
          <w:position w:val="20"/>
          <w:sz w:val="32"/>
          <w:szCs w:val="32"/>
        </w:rPr>
        <w:t>体质测试达标率(全校及分专业)</w:t>
      </w:r>
    </w:p>
    <w:p>
      <w:pPr>
        <w:pStyle w:val="2"/>
        <w:spacing w:before="1" w:line="222" w:lineRule="auto"/>
        <w:ind w:left="629"/>
        <w:rPr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24.</w:t>
      </w:r>
      <w:r>
        <w:rPr>
          <w:rFonts w:ascii="Arial" w:hAnsi="Arial" w:eastAsia="Arial" w:cs="Arial"/>
          <w:spacing w:val="47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学生学习满意度(调查方法与结果)</w:t>
      </w:r>
    </w:p>
    <w:p>
      <w:pPr>
        <w:pStyle w:val="2"/>
        <w:spacing w:before="202" w:line="571" w:lineRule="exact"/>
        <w:ind w:left="629"/>
        <w:rPr>
          <w:sz w:val="32"/>
          <w:szCs w:val="32"/>
        </w:rPr>
      </w:pPr>
      <w:r>
        <w:rPr>
          <w:spacing w:val="8"/>
          <w:position w:val="18"/>
          <w:sz w:val="32"/>
          <w:szCs w:val="32"/>
        </w:rPr>
        <w:t>25.</w:t>
      </w:r>
      <w:r>
        <w:rPr>
          <w:spacing w:val="-54"/>
          <w:position w:val="18"/>
          <w:sz w:val="32"/>
          <w:szCs w:val="32"/>
        </w:rPr>
        <w:t xml:space="preserve"> </w:t>
      </w:r>
      <w:r>
        <w:rPr>
          <w:spacing w:val="8"/>
          <w:position w:val="18"/>
          <w:sz w:val="32"/>
          <w:szCs w:val="32"/>
        </w:rPr>
        <w:t>用人单位对毕业生满意度(调查方法与结果)</w:t>
      </w:r>
    </w:p>
    <w:p>
      <w:pPr>
        <w:pStyle w:val="2"/>
        <w:spacing w:before="1" w:line="221" w:lineRule="auto"/>
        <w:ind w:left="629"/>
        <w:rPr>
          <w:sz w:val="32"/>
          <w:szCs w:val="32"/>
        </w:rPr>
      </w:pPr>
      <w:r>
        <w:rPr>
          <w:sz w:val="32"/>
          <w:szCs w:val="32"/>
        </w:rPr>
        <w:t>26.</w:t>
      </w:r>
      <w:r>
        <w:rPr>
          <w:spacing w:val="-40"/>
          <w:sz w:val="32"/>
          <w:szCs w:val="32"/>
        </w:rPr>
        <w:t xml:space="preserve"> </w:t>
      </w:r>
      <w:r>
        <w:rPr>
          <w:sz w:val="32"/>
          <w:szCs w:val="32"/>
        </w:rPr>
        <w:t>其它与本科教学质量相关数据</w:t>
      </w:r>
    </w:p>
    <w:p>
      <w:pPr>
        <w:pStyle w:val="2"/>
        <w:spacing w:before="194" w:line="224" w:lineRule="auto"/>
        <w:ind w:left="634"/>
        <w:rPr>
          <w:sz w:val="32"/>
          <w:szCs w:val="32"/>
        </w:rPr>
      </w:pPr>
      <w:r>
        <w:rPr>
          <w:b/>
          <w:bCs/>
          <w:spacing w:val="-17"/>
          <w:sz w:val="32"/>
          <w:szCs w:val="32"/>
        </w:rPr>
        <w:t>说明：</w:t>
      </w:r>
    </w:p>
    <w:p>
      <w:pPr>
        <w:pStyle w:val="2"/>
        <w:spacing w:before="193" w:line="335" w:lineRule="auto"/>
        <w:ind w:firstLine="629"/>
        <w:jc w:val="both"/>
        <w:rPr>
          <w:sz w:val="32"/>
          <w:szCs w:val="32"/>
        </w:rPr>
      </w:pPr>
      <w:r>
        <w:rPr>
          <w:spacing w:val="9"/>
          <w:sz w:val="32"/>
          <w:szCs w:val="32"/>
        </w:rPr>
        <w:t>1.</w:t>
      </w:r>
      <w:r>
        <w:rPr>
          <w:spacing w:val="-65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数据的计算方法参照《教育部关于印发</w:t>
      </w:r>
      <w:r>
        <w:rPr>
          <w:spacing w:val="8"/>
          <w:sz w:val="32"/>
          <w:szCs w:val="32"/>
        </w:rPr>
        <w:t xml:space="preserve">&lt;普通高等学校 </w:t>
      </w:r>
      <w:r>
        <w:rPr>
          <w:spacing w:val="9"/>
          <w:sz w:val="32"/>
          <w:szCs w:val="32"/>
        </w:rPr>
        <w:t>基本办学条件指标(试行)&gt;的通知》(教发〔2004〕2号)及《中</w:t>
      </w:r>
      <w:r>
        <w:rPr>
          <w:spacing w:val="1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国教育监测与评价统计指标体系(2020年版)》(教发〔2020〕6</w:t>
      </w:r>
    </w:p>
    <w:p>
      <w:pPr>
        <w:pStyle w:val="2"/>
        <w:spacing w:line="222" w:lineRule="auto"/>
        <w:rPr>
          <w:sz w:val="32"/>
          <w:szCs w:val="32"/>
        </w:rPr>
        <w:sectPr>
          <w:footerReference r:id="rId6" w:type="default"/>
          <w:pgSz w:w="11900" w:h="16820"/>
          <w:pgMar w:top="1429" w:right="1528" w:bottom="854" w:left="1430" w:header="0" w:footer="537" w:gutter="0"/>
          <w:cols w:space="720" w:num="1"/>
        </w:sectPr>
      </w:pPr>
      <w:r>
        <w:rPr>
          <w:spacing w:val="19"/>
          <w:sz w:val="32"/>
          <w:szCs w:val="32"/>
        </w:rPr>
        <w:t>号)文件。</w:t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0" w:line="345" w:lineRule="auto"/>
        <w:ind w:right="17" w:firstLine="629"/>
        <w:rPr>
          <w:sz w:val="31"/>
          <w:szCs w:val="31"/>
        </w:rPr>
      </w:pPr>
      <w:r>
        <w:rPr>
          <w:spacing w:val="23"/>
          <w:sz w:val="31"/>
          <w:szCs w:val="31"/>
        </w:rPr>
        <w:t>2.</w:t>
      </w:r>
      <w:r>
        <w:rPr>
          <w:spacing w:val="-24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财务数据(如经费、工资等)按照自然年计算，截止到</w:t>
      </w:r>
      <w:r>
        <w:rPr>
          <w:sz w:val="31"/>
          <w:szCs w:val="31"/>
        </w:rPr>
        <w:t xml:space="preserve"> </w:t>
      </w:r>
      <w:r>
        <w:rPr>
          <w:spacing w:val="29"/>
          <w:sz w:val="31"/>
          <w:szCs w:val="31"/>
        </w:rPr>
        <w:t>2022年12月31</w:t>
      </w:r>
      <w:r>
        <w:rPr>
          <w:spacing w:val="-37"/>
          <w:sz w:val="31"/>
          <w:szCs w:val="31"/>
        </w:rPr>
        <w:t xml:space="preserve"> </w:t>
      </w:r>
      <w:r>
        <w:rPr>
          <w:spacing w:val="29"/>
          <w:sz w:val="31"/>
          <w:szCs w:val="31"/>
        </w:rPr>
        <w:t>日；教学数据(学生、教师、专业、课程等)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按照学年计算，为2022-2023学年。</w:t>
      </w:r>
    </w:p>
    <w:p>
      <w:pPr>
        <w:pStyle w:val="2"/>
        <w:spacing w:before="178" w:line="348" w:lineRule="auto"/>
        <w:ind w:right="3" w:firstLine="629"/>
        <w:rPr>
          <w:sz w:val="31"/>
          <w:szCs w:val="31"/>
        </w:rPr>
      </w:pPr>
      <w:r>
        <w:rPr>
          <w:spacing w:val="5"/>
          <w:sz w:val="31"/>
          <w:szCs w:val="31"/>
        </w:rPr>
        <w:t>3.</w:t>
      </w:r>
      <w:r>
        <w:rPr>
          <w:spacing w:val="-5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第4项数据，分专业生师比=分专业在校本科生数/分专业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教师总数。分专业教师总数=分专业专任教师数+聘请校外教师数</w:t>
      </w:r>
      <w:r>
        <w:rPr>
          <w:spacing w:val="11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×0.5。分专业专任教师指具有教师资格、主要从事本专业教学工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作的人员。单名教师最多归属一个专业，参与多专业教学的教师</w:t>
      </w:r>
      <w:r>
        <w:rPr>
          <w:spacing w:val="1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不得在多专业中重复计算。对于按专业类招生或</w:t>
      </w:r>
      <w:r>
        <w:rPr>
          <w:spacing w:val="4"/>
          <w:sz w:val="31"/>
          <w:szCs w:val="31"/>
        </w:rPr>
        <w:t>未将教师分到专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业的学校专业，分专业生师比暂时按照所在专</w:t>
      </w:r>
      <w:r>
        <w:rPr>
          <w:spacing w:val="4"/>
          <w:sz w:val="31"/>
          <w:szCs w:val="31"/>
        </w:rPr>
        <w:t>业类生师比计。专</w:t>
      </w:r>
    </w:p>
    <w:p>
      <w:pPr>
        <w:pStyle w:val="2"/>
        <w:spacing w:line="219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业类生师比=专业类内所有专业在校本科生数/专业类教师总</w:t>
      </w:r>
      <w:r>
        <w:rPr>
          <w:spacing w:val="3"/>
          <w:sz w:val="31"/>
          <w:szCs w:val="31"/>
        </w:rPr>
        <w:t>数。</w:t>
      </w:r>
    </w:p>
    <w:p>
      <w:pPr>
        <w:pStyle w:val="2"/>
        <w:spacing w:before="212" w:line="339" w:lineRule="auto"/>
        <w:ind w:firstLine="629"/>
        <w:rPr>
          <w:sz w:val="31"/>
          <w:szCs w:val="31"/>
        </w:rPr>
      </w:pPr>
      <w:r>
        <w:rPr>
          <w:spacing w:val="11"/>
          <w:sz w:val="31"/>
          <w:szCs w:val="31"/>
        </w:rPr>
        <w:t>4.</w:t>
      </w:r>
      <w:r>
        <w:rPr>
          <w:spacing w:val="-2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第10项数据参照《教育部办公厅关于开展普通高等学校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本科教学工作合格评估的通知》(教高厅〔2011〕2号)文</w:t>
      </w:r>
      <w:r>
        <w:rPr>
          <w:spacing w:val="16"/>
          <w:sz w:val="31"/>
          <w:szCs w:val="31"/>
        </w:rPr>
        <w:t>件，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是指学校开展本科教学活动及其辅助活动发生的支出，</w:t>
      </w:r>
      <w:r>
        <w:rPr>
          <w:spacing w:val="4"/>
          <w:sz w:val="31"/>
          <w:szCs w:val="31"/>
        </w:rPr>
        <w:t>仅指教学</w:t>
      </w:r>
      <w:r>
        <w:rPr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基本支出中的商品和服务支出(302类)(不含教学专项</w:t>
      </w:r>
      <w:r>
        <w:rPr>
          <w:spacing w:val="25"/>
          <w:sz w:val="31"/>
          <w:szCs w:val="31"/>
        </w:rPr>
        <w:t>拨款支</w:t>
      </w:r>
      <w:r>
        <w:rPr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出),具体包括：教学教辅部门发生的办公费(含考试考务费、</w:t>
      </w:r>
      <w:r>
        <w:rPr>
          <w:spacing w:val="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手续费等)、印刷费、咨询费、邮电费、交通</w:t>
      </w:r>
      <w:r>
        <w:rPr>
          <w:spacing w:val="9"/>
          <w:sz w:val="31"/>
          <w:szCs w:val="31"/>
        </w:rPr>
        <w:t>费、差旅费、出国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费、维修(护)费、租赁费、会议费、培训费、专用材料费(含</w:t>
      </w:r>
      <w:r>
        <w:rPr>
          <w:spacing w:val="5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体育维持费等)、劳务费、其他教学商品和服务</w:t>
      </w:r>
      <w:r>
        <w:rPr>
          <w:spacing w:val="15"/>
          <w:sz w:val="31"/>
          <w:szCs w:val="31"/>
        </w:rPr>
        <w:t>支出(含学生活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动费、教学咨询研究机构会员费、教学改革科研业务费、委托业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z w:val="31"/>
          <w:szCs w:val="31"/>
        </w:rPr>
        <w:t>务费等)。取会计决算数。</w:t>
      </w:r>
    </w:p>
    <w:p>
      <w:pPr>
        <w:pStyle w:val="2"/>
        <w:spacing w:before="286" w:line="550" w:lineRule="exact"/>
        <w:ind w:right="3"/>
        <w:jc w:val="right"/>
        <w:rPr>
          <w:sz w:val="31"/>
          <w:szCs w:val="31"/>
        </w:rPr>
      </w:pPr>
      <w:r>
        <w:rPr>
          <w:spacing w:val="13"/>
          <w:position w:val="17"/>
          <w:sz w:val="31"/>
          <w:szCs w:val="31"/>
        </w:rPr>
        <w:t>5.</w:t>
      </w:r>
      <w:r>
        <w:rPr>
          <w:spacing w:val="-57"/>
          <w:position w:val="17"/>
          <w:sz w:val="31"/>
          <w:szCs w:val="31"/>
        </w:rPr>
        <w:t xml:space="preserve"> </w:t>
      </w:r>
      <w:r>
        <w:rPr>
          <w:spacing w:val="13"/>
          <w:position w:val="17"/>
          <w:sz w:val="31"/>
          <w:szCs w:val="31"/>
        </w:rPr>
        <w:t>分专业名称为教育部正式备案或审批的高等学校</w:t>
      </w:r>
      <w:r>
        <w:rPr>
          <w:spacing w:val="12"/>
          <w:position w:val="17"/>
          <w:sz w:val="31"/>
          <w:szCs w:val="31"/>
        </w:rPr>
        <w:t>本科专</w:t>
      </w:r>
    </w:p>
    <w:p>
      <w:pPr>
        <w:pStyle w:val="2"/>
        <w:spacing w:before="1" w:line="220" w:lineRule="auto"/>
        <w:rPr>
          <w:sz w:val="31"/>
          <w:szCs w:val="31"/>
        </w:rPr>
        <w:sectPr>
          <w:footerReference r:id="rId7" w:type="default"/>
          <w:pgSz w:w="12190" w:h="17030"/>
          <w:pgMar w:top="1447" w:right="1572" w:bottom="1057" w:left="1799" w:header="0" w:footer="749" w:gutter="0"/>
          <w:cols w:space="720" w:num="1"/>
        </w:sectPr>
      </w:pPr>
      <w:r>
        <w:rPr>
          <w:spacing w:val="-12"/>
          <w:sz w:val="31"/>
          <w:szCs w:val="31"/>
        </w:rPr>
        <w:t>业名称。</w:t>
      </w:r>
      <w:bookmarkStart w:id="0" w:name="_GoBack"/>
      <w:bookmarkEnd w:id="0"/>
    </w:p>
    <w:p>
      <w:pPr>
        <w:rPr>
          <w:rFonts w:ascii="Arial"/>
          <w:sz w:val="21"/>
        </w:rPr>
      </w:pPr>
    </w:p>
    <w:p>
      <w:pPr>
        <w:pStyle w:val="2"/>
        <w:spacing w:before="104" w:line="572" w:lineRule="exact"/>
        <w:ind w:left="619"/>
        <w:rPr>
          <w:sz w:val="32"/>
          <w:szCs w:val="32"/>
        </w:rPr>
      </w:pPr>
      <w:r>
        <w:rPr>
          <w:spacing w:val="2"/>
          <w:position w:val="18"/>
          <w:sz w:val="32"/>
          <w:szCs w:val="32"/>
        </w:rPr>
        <w:t>6.</w:t>
      </w:r>
      <w:r>
        <w:rPr>
          <w:spacing w:val="-45"/>
          <w:position w:val="18"/>
          <w:sz w:val="32"/>
          <w:szCs w:val="32"/>
        </w:rPr>
        <w:t xml:space="preserve"> </w:t>
      </w:r>
      <w:r>
        <w:rPr>
          <w:spacing w:val="2"/>
          <w:position w:val="18"/>
          <w:sz w:val="32"/>
          <w:szCs w:val="32"/>
        </w:rPr>
        <w:t>第24、25两项数据可视本校此项工作基础酌情公布。</w:t>
      </w:r>
    </w:p>
    <w:p>
      <w:pPr>
        <w:pStyle w:val="2"/>
        <w:spacing w:before="1" w:line="220" w:lineRule="auto"/>
        <w:ind w:left="629"/>
        <w:rPr>
          <w:rFonts w:hint="default"/>
          <w:spacing w:val="-3"/>
          <w:sz w:val="32"/>
          <w:szCs w:val="32"/>
          <w:lang w:val="en-US" w:eastAsia="zh-CN"/>
        </w:rPr>
      </w:pPr>
      <w:r>
        <w:rPr>
          <w:spacing w:val="-3"/>
          <w:sz w:val="32"/>
          <w:szCs w:val="32"/>
        </w:rPr>
        <w:t>7.</w:t>
      </w:r>
      <w:r>
        <w:rPr>
          <w:spacing w:val="-6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质量报告中的各项数据均保留小数点后两位数</w:t>
      </w:r>
      <w:r>
        <w:rPr>
          <w:rFonts w:hint="eastAsia"/>
          <w:spacing w:val="-3"/>
          <w:sz w:val="32"/>
          <w:szCs w:val="32"/>
          <w:lang w:eastAsia="zh-CN"/>
        </w:rPr>
        <w:t>。</w:t>
      </w:r>
    </w:p>
    <w:sectPr>
      <w:footerReference r:id="rId8" w:type="default"/>
      <w:pgSz w:w="12230" w:h="17050"/>
      <w:pgMar w:top="1449" w:right="1505" w:bottom="1065" w:left="1665" w:header="0" w:footer="7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MxNTNmMjVhNzhmNWU2NzJkYjYzODJlNjE1NzAyMmYifQ=="/>
  </w:docVars>
  <w:rsids>
    <w:rsidRoot w:val="00000000"/>
    <w:rsid w:val="085653D4"/>
    <w:rsid w:val="46C43567"/>
    <w:rsid w:val="66D13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2023-11-08T10:05:00Z</dcterms:created>
  <dc:creator>Kingsoft-PDF</dc:creator>
  <cp:lastModifiedBy>Soina</cp:lastModifiedBy>
  <dcterms:modified xsi:type="dcterms:W3CDTF">2023-11-08T02:25:38Z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2023-11-08T10:05:32Z</vt:filetime>
  </property>
  <property fmtid="{D5CDD505-2E9C-101B-9397-08002B2CF9AE}" pid="4" name="UsrData">
    <vt:lpwstr>654aece7be2342001f4af97fwl</vt:lpwstr>
  </property>
  <property fmtid="{D5CDD505-2E9C-101B-9397-08002B2CF9AE}" pid="5" name="KSOProductBuildVer">
    <vt:lpwstr>2052-12.1.0.15712</vt:lpwstr>
  </property>
  <property fmtid="{D5CDD505-2E9C-101B-9397-08002B2CF9AE}" pid="6" name="ICV">
    <vt:lpwstr>20E0EB6A9D004D759BEEEDD581B90184_12</vt:lpwstr>
  </property>
</Properties>
</file>